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32" w:rsidRPr="00C17D32" w:rsidRDefault="00C17D32" w:rsidP="00C17D32">
      <w:pPr>
        <w:jc w:val="right"/>
        <w:rPr>
          <w:b/>
        </w:rPr>
      </w:pPr>
      <w:r w:rsidRPr="00C17D32">
        <w:rPr>
          <w:b/>
        </w:rPr>
        <w:t>Václav Valíček, 2A/5, měřeno: 30.11.2015</w:t>
      </w:r>
    </w:p>
    <w:p w:rsidR="00C17D32" w:rsidRDefault="00C17D32" w:rsidP="00C17D32">
      <w:pPr>
        <w:jc w:val="center"/>
        <w:rPr>
          <w:rFonts w:ascii="Arial Black" w:hAnsi="Arial Black"/>
          <w:sz w:val="28"/>
        </w:rPr>
      </w:pPr>
      <w:r w:rsidRPr="00C17D32">
        <w:rPr>
          <w:rFonts w:ascii="Arial Black" w:hAnsi="Arial Black"/>
          <w:sz w:val="28"/>
        </w:rPr>
        <w:t>Fyzika II – Laboratoře – Úloh č. 5 – Konvoluce</w:t>
      </w:r>
    </w:p>
    <w:p w:rsidR="00C17D32" w:rsidRDefault="00C17D32" w:rsidP="00C17D32">
      <w:pPr>
        <w:pStyle w:val="Odstavecseseznamem"/>
        <w:numPr>
          <w:ilvl w:val="0"/>
          <w:numId w:val="1"/>
        </w:numPr>
      </w:pPr>
      <w:r w:rsidRPr="00C17D32">
        <w:rPr>
          <w:b/>
        </w:rPr>
        <w:t xml:space="preserve">Pomůcky: </w:t>
      </w:r>
      <w:r>
        <w:t>Kádinka, míchadlo, teploměr (KTY10D), multimetr, zdroj, topná spirála, vodiče</w:t>
      </w:r>
    </w:p>
    <w:p w:rsidR="00C17D32" w:rsidRPr="00C76F52" w:rsidRDefault="00C17D32" w:rsidP="00C17D32">
      <w:pPr>
        <w:pStyle w:val="Odstavecseseznamem"/>
        <w:numPr>
          <w:ilvl w:val="0"/>
          <w:numId w:val="1"/>
        </w:numPr>
      </w:pPr>
      <w:r>
        <w:rPr>
          <w:b/>
        </w:rPr>
        <w:t>Zadání:</w:t>
      </w:r>
    </w:p>
    <w:p w:rsidR="00C76F52" w:rsidRDefault="00C76F52" w:rsidP="00C76F52">
      <w:pPr>
        <w:pStyle w:val="Odstavecseseznamem"/>
        <w:numPr>
          <w:ilvl w:val="1"/>
          <w:numId w:val="1"/>
        </w:numPr>
      </w:pPr>
      <w:r>
        <w:rPr>
          <w:b/>
        </w:rPr>
        <w:t>Měření I.</w:t>
      </w:r>
      <w:r>
        <w:t xml:space="preserve"> – Topení o příkonu P a délce t</w:t>
      </w:r>
      <w:r>
        <w:rPr>
          <w:vertAlign w:val="subscript"/>
        </w:rPr>
        <w:t>0</w:t>
      </w:r>
      <w:r>
        <w:t>, poté chladnutí do konce intervalu t</w:t>
      </w:r>
    </w:p>
    <w:p w:rsidR="00C76F52" w:rsidRDefault="00C76F52" w:rsidP="00C76F52">
      <w:pPr>
        <w:pStyle w:val="Odstavecseseznamem"/>
        <w:numPr>
          <w:ilvl w:val="1"/>
          <w:numId w:val="1"/>
        </w:numPr>
      </w:pPr>
      <w:r>
        <w:rPr>
          <w:b/>
        </w:rPr>
        <w:t>Meření II.</w:t>
      </w:r>
      <w:r>
        <w:t xml:space="preserve"> – Topení o příkonu P a délce t</w:t>
      </w:r>
    </w:p>
    <w:p w:rsidR="00C76F52" w:rsidRDefault="00C76F52" w:rsidP="00C76F52">
      <w:pPr>
        <w:pStyle w:val="Odstavecseseznamem"/>
        <w:numPr>
          <w:ilvl w:val="1"/>
          <w:numId w:val="1"/>
        </w:numPr>
      </w:pPr>
      <w:r>
        <w:t xml:space="preserve">Během obou měření zapisovat hodnoty z čidla v stanoveném intervalu. Následuje grafické znázornění obou měření + teoreticky vypočítané hodnoty pomocí konvoluce. </w:t>
      </w:r>
    </w:p>
    <w:p w:rsidR="00274C4F" w:rsidRPr="00274C4F" w:rsidRDefault="00274C4F" w:rsidP="00274C4F">
      <w:pPr>
        <w:pStyle w:val="Odstavecseseznamem"/>
        <w:numPr>
          <w:ilvl w:val="0"/>
          <w:numId w:val="1"/>
        </w:numPr>
        <w:rPr>
          <w:b/>
        </w:rPr>
      </w:pPr>
      <w:r w:rsidRPr="00274C4F">
        <w:rPr>
          <w:b/>
        </w:rPr>
        <w:t>Měřící aparatura:</w:t>
      </w:r>
      <w:r>
        <w:rPr>
          <w:b/>
        </w:rPr>
        <w:t xml:space="preserve"> </w:t>
      </w:r>
      <w:r>
        <w:t>Zdroj tepla (spirála + laboratorní zdroj), kádinka o objemu 500ml, míchadlo, multimetr s čidlem KTY10D</w:t>
      </w:r>
    </w:p>
    <w:p w:rsidR="00274C4F" w:rsidRPr="00274C4F" w:rsidRDefault="00274C4F" w:rsidP="00274C4F">
      <w:pPr>
        <w:pStyle w:val="Odstavecseseznamem"/>
        <w:numPr>
          <w:ilvl w:val="0"/>
          <w:numId w:val="1"/>
        </w:numPr>
        <w:rPr>
          <w:rFonts w:eastAsiaTheme="minorEastAsia"/>
          <w:b/>
        </w:rPr>
      </w:pPr>
      <w:r>
        <w:rPr>
          <w:b/>
        </w:rPr>
        <w:t xml:space="preserve">Vztah pro přepočet teploty: </w:t>
      </w:r>
      <m:oMath>
        <m:r>
          <w:rPr>
            <w:rFonts w:ascii="Cambria Math" w:hAnsi="Cambria Math"/>
          </w:rPr>
          <m:t>T=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-0,000006*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+0,0903*R-131,6</m:t>
        </m:r>
      </m:oMath>
    </w:p>
    <w:p w:rsidR="00274C4F" w:rsidRPr="00ED252A" w:rsidRDefault="00274C4F" w:rsidP="00274C4F">
      <w:pPr>
        <w:pStyle w:val="Odstavecseseznamem"/>
        <w:numPr>
          <w:ilvl w:val="0"/>
          <w:numId w:val="1"/>
        </w:numPr>
        <w:rPr>
          <w:rFonts w:eastAsiaTheme="minorEastAsia"/>
          <w:b/>
        </w:rPr>
      </w:pPr>
      <w:r>
        <w:rPr>
          <w:b/>
        </w:rPr>
        <w:t>Nastavení experimentu:</w:t>
      </w:r>
    </w:p>
    <w:p w:rsidR="00ED252A" w:rsidRPr="00274C4F" w:rsidRDefault="00ED252A" w:rsidP="00ED252A">
      <w:pPr>
        <w:pStyle w:val="Odstavecseseznamem"/>
        <w:numPr>
          <w:ilvl w:val="1"/>
          <w:numId w:val="1"/>
        </w:numPr>
        <w:rPr>
          <w:rFonts w:eastAsiaTheme="minorEastAsia"/>
          <w:b/>
        </w:rPr>
      </w:pPr>
      <m:oMath>
        <m:r>
          <w:rPr>
            <w:rFonts w:ascii="Cambria Math" w:eastAsiaTheme="minorEastAsia" w:hAnsi="Cambria Math"/>
          </w:rPr>
          <m:t>P=U*I=20V*4A=80W</m:t>
        </m:r>
      </m:oMath>
    </w:p>
    <w:p w:rsidR="00274C4F" w:rsidRPr="00274C4F" w:rsidRDefault="00274C4F" w:rsidP="00274C4F">
      <w:pPr>
        <w:pStyle w:val="Odstavecseseznamem"/>
        <w:numPr>
          <w:ilvl w:val="1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t=16 min</m:t>
        </m:r>
      </m:oMath>
    </w:p>
    <w:p w:rsidR="00274C4F" w:rsidRPr="00274C4F" w:rsidRDefault="005421BA" w:rsidP="00274C4F">
      <w:pPr>
        <w:pStyle w:val="Odstavecseseznamem"/>
        <w:numPr>
          <w:ilvl w:val="1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=2 min</m:t>
        </m:r>
      </m:oMath>
    </w:p>
    <w:p w:rsidR="00274C4F" w:rsidRPr="00F7458A" w:rsidRDefault="005421BA" w:rsidP="00274C4F">
      <w:pPr>
        <w:pStyle w:val="Odstavecseseznamem"/>
        <w:numPr>
          <w:ilvl w:val="1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01</m:t>
            </m:r>
          </m:sub>
        </m:sSub>
        <m:r>
          <w:rPr>
            <w:rFonts w:ascii="Cambria Math" w:eastAsiaTheme="minorEastAsia" w:hAnsi="Cambria Math"/>
          </w:rPr>
          <m:t>=2070</m:t>
        </m:r>
        <m:r>
          <m:rPr>
            <m:sty m:val="p"/>
          </m:rPr>
          <w:rPr>
            <w:rFonts w:ascii="Cambria Math" w:eastAsiaTheme="minorEastAsia" w:hAnsi="Cambria Math"/>
          </w:rPr>
          <m:t>Ω</m:t>
        </m:r>
        <m:r>
          <w:rPr>
            <w:rFonts w:ascii="Cambria Math" w:eastAsiaTheme="minorEastAsia" w:hAnsi="Cambria Math"/>
          </w:rPr>
          <m:t>→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01</m:t>
            </m:r>
          </m:sub>
        </m:sSub>
        <m:r>
          <w:rPr>
            <w:rFonts w:ascii="Cambria Math" w:eastAsiaTheme="minorEastAsia" w:hAnsi="Cambria Math"/>
          </w:rPr>
          <m:t>=29,6°C</m:t>
        </m:r>
      </m:oMath>
      <w:r w:rsidR="00F7458A">
        <w:rPr>
          <w:rFonts w:eastAsiaTheme="minorEastAsia"/>
        </w:rPr>
        <w:t xml:space="preserve"> – Teplota před prvním měřením</w:t>
      </w:r>
    </w:p>
    <w:p w:rsidR="00F7458A" w:rsidRPr="00F7458A" w:rsidRDefault="005421BA" w:rsidP="00F7458A">
      <w:pPr>
        <w:pStyle w:val="Odstavecseseznamem"/>
        <w:numPr>
          <w:ilvl w:val="1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02</m:t>
            </m:r>
          </m:sub>
        </m:sSub>
        <m:r>
          <w:rPr>
            <w:rFonts w:ascii="Cambria Math" w:eastAsiaTheme="minorEastAsia" w:hAnsi="Cambria Math"/>
          </w:rPr>
          <m:t>=2110</m:t>
        </m:r>
        <m:r>
          <m:rPr>
            <m:sty m:val="p"/>
          </m:rPr>
          <w:rPr>
            <w:rFonts w:ascii="Cambria Math" w:eastAsiaTheme="minorEastAsia" w:hAnsi="Cambria Math"/>
          </w:rPr>
          <m:t>Ω</m:t>
        </m:r>
        <m:r>
          <w:rPr>
            <w:rFonts w:ascii="Cambria Math" w:eastAsiaTheme="minorEastAsia" w:hAnsi="Cambria Math"/>
          </w:rPr>
          <m:t>→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02</m:t>
            </m:r>
          </m:sub>
        </m:sSub>
        <m:r>
          <w:rPr>
            <w:rFonts w:ascii="Cambria Math" w:eastAsiaTheme="minorEastAsia" w:hAnsi="Cambria Math"/>
          </w:rPr>
          <m:t>=32,2°C</m:t>
        </m:r>
      </m:oMath>
      <w:r w:rsidR="00F7458A">
        <w:rPr>
          <w:rFonts w:eastAsiaTheme="minorEastAsia"/>
        </w:rPr>
        <w:t xml:space="preserve"> – Teplota před druhým měřením</w:t>
      </w:r>
    </w:p>
    <w:p w:rsidR="00274C4F" w:rsidRDefault="00274C4F" w:rsidP="00274C4F">
      <w:pPr>
        <w:pStyle w:val="Odstavecseseznamem"/>
        <w:rPr>
          <w:b/>
        </w:rPr>
      </w:pPr>
    </w:p>
    <w:p w:rsidR="00F44F61" w:rsidRDefault="00F74DF7" w:rsidP="00F74DF7">
      <w:pPr>
        <w:pStyle w:val="Nadpis2"/>
      </w:pPr>
      <w:r>
        <w:t>Měření</w:t>
      </w:r>
    </w:p>
    <w:p w:rsidR="00274C4F" w:rsidRDefault="00F74DF7" w:rsidP="00274C4F">
      <w:r>
        <w:rPr>
          <w:noProof/>
          <w:lang w:eastAsia="cs-CZ"/>
        </w:rPr>
        <w:drawing>
          <wp:inline distT="0" distB="0" distL="0" distR="0">
            <wp:extent cx="4391025" cy="251932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vMeren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51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Tabulka 1: Odečtené a přepočítané hodnoty po obou měřeních</w:t>
      </w:r>
    </w:p>
    <w:p w:rsidR="00F74DF7" w:rsidRDefault="00446135" w:rsidP="00274C4F">
      <w:r>
        <w:rPr>
          <w:noProof/>
          <w:lang w:eastAsia="cs-CZ"/>
        </w:rPr>
        <w:drawing>
          <wp:inline distT="0" distB="0" distL="0" distR="0">
            <wp:extent cx="1989244" cy="24669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vPropoc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612" cy="247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&lt;&lt; Tabulka 2: Přepočítané fragmenty jednotkového impulzu v t</w:t>
      </w:r>
    </w:p>
    <w:p w:rsidR="00446135" w:rsidRDefault="00446135" w:rsidP="00274C4F">
      <w:pPr>
        <w:rPr>
          <w:rFonts w:eastAsiaTheme="minorEastAsia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600700" cy="2151503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vTabulk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747" cy="215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Tabulka 3: Tabulka sčítání jednotlivých impulzů konvoluce. Poněkud nešťastně řešený popis – jednotlivé řádky jsou časy po dvou minutách (počátek </w:t>
      </w:r>
      <m:oMath>
        <m:r>
          <w:rPr>
            <w:rFonts w:ascii="Cambria Math" w:hAnsi="Cambria Math"/>
          </w:rPr>
          <m:t>t=0</m:t>
        </m:r>
      </m:oMath>
      <w:r>
        <w:rPr>
          <w:rFonts w:eastAsiaTheme="minorEastAsia"/>
        </w:rPr>
        <w:t>), sloupce obsahují příspěvky jednotlivých pulzů. Poslední sloupec obsahuje součet vlivů jednotlivých pulzů v čase.</w:t>
      </w:r>
    </w:p>
    <w:p w:rsidR="009D4CAC" w:rsidRDefault="00446135" w:rsidP="00274C4F">
      <w:pPr>
        <w:rPr>
          <w:rFonts w:eastAsiaTheme="minorEastAsia"/>
        </w:rPr>
      </w:pPr>
      <w:r>
        <w:rPr>
          <w:noProof/>
          <w:lang w:eastAsia="cs-CZ"/>
        </w:rPr>
        <w:drawing>
          <wp:inline distT="0" distB="0" distL="0" distR="0" wp14:anchorId="7F5A7D44" wp14:editId="4D848B25">
            <wp:extent cx="1990912" cy="24765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vProGraf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912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Tabulka 4: </w:t>
      </w:r>
      <w:r w:rsidR="009D4CAC">
        <w:t xml:space="preserve">Sloupec „M2“ – hodnoty měření. Sloupec „Konv“ – teoreticky vypočítano ze vztahu </w:t>
      </w:r>
      <m:oMath>
        <m:r>
          <w:rPr>
            <w:rFonts w:ascii="Cambria Math" w:hAnsi="Cambria Math"/>
          </w:rPr>
          <m:t xml:space="preserve">Konv=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tab3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02</m:t>
            </m:r>
          </m:sub>
        </m:sSub>
      </m:oMath>
    </w:p>
    <w:p w:rsidR="005E1D45" w:rsidRDefault="005E1D45" w:rsidP="00274C4F">
      <w:pPr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5486400" cy="3200400"/>
            <wp:effectExtent l="0" t="0" r="19050" b="1905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60FCA" w:rsidRDefault="00360FCA" w:rsidP="00360FCA">
      <w:pPr>
        <w:pStyle w:val="Nadpis2"/>
        <w:rPr>
          <w:rFonts w:eastAsiaTheme="minorEastAsia"/>
        </w:rPr>
      </w:pPr>
      <w:r>
        <w:rPr>
          <w:rFonts w:eastAsiaTheme="minorEastAsia"/>
        </w:rPr>
        <w:t>Diskuze výsledků</w:t>
      </w:r>
    </w:p>
    <w:p w:rsidR="00360FCA" w:rsidRDefault="00360FCA" w:rsidP="00360FCA">
      <w:r>
        <w:t xml:space="preserve">Po porovnání vypočtených výsledků s naměřenými je zřejmé, že rozdíly nejsou nijak markantní (vzhledem ke způsobu měření a charakteru pokusu). Ohřívání vody v kádince není ideálním příkladem </w:t>
      </w:r>
      <w:r>
        <w:lastRenderedPageBreak/>
        <w:t xml:space="preserve">lineární  funkce, na kterou by se dala konvoluce aplikovat. Nízká odchylka naměřených a vypočtených hodnot je pro mne (pozn: po předchozích lab. cvičeních) příjemným překvapením. </w:t>
      </w:r>
    </w:p>
    <w:p w:rsidR="00360FCA" w:rsidRDefault="00360FCA" w:rsidP="00360FCA">
      <w:pPr>
        <w:pStyle w:val="Nadpis2"/>
      </w:pPr>
      <w:r>
        <w:t>Závěr</w:t>
      </w:r>
    </w:p>
    <w:p w:rsidR="009D4CAC" w:rsidRPr="00274C4F" w:rsidRDefault="00360FCA" w:rsidP="00274C4F">
      <w:r>
        <w:t>Při použití konvoluce nebylo dosaženo stejných hodnot, jako při reálném měření, nicméně šlo by to částe</w:t>
      </w:r>
      <w:r w:rsidR="00B5088D">
        <w:t>čně napravit. První vadou jsou dlouhé intervaly mezi měřeními. Ty by šlo zkrátit, popřípadě sjednotit jejich délku – v pravidelných intervalech by mohl vyčítat například počítač. Doporučil bych použít přesnější  čídlo s</w:t>
      </w:r>
      <w:r w:rsidR="00627230">
        <w:t xml:space="preserve"> lineární charakteristikou, popřípadě alespoň přesnější převodní tabulkou. </w:t>
      </w:r>
      <w:bookmarkStart w:id="0" w:name="_GoBack"/>
      <w:bookmarkEnd w:id="0"/>
    </w:p>
    <w:sectPr w:rsidR="009D4CAC" w:rsidRPr="00274C4F" w:rsidSect="0044613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619E7"/>
    <w:multiLevelType w:val="hybridMultilevel"/>
    <w:tmpl w:val="D534D06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32"/>
    <w:rsid w:val="00036575"/>
    <w:rsid w:val="00087005"/>
    <w:rsid w:val="00274C4F"/>
    <w:rsid w:val="0035180C"/>
    <w:rsid w:val="00360FCA"/>
    <w:rsid w:val="004136F0"/>
    <w:rsid w:val="00446135"/>
    <w:rsid w:val="005421BA"/>
    <w:rsid w:val="0056184A"/>
    <w:rsid w:val="005E1D45"/>
    <w:rsid w:val="00627230"/>
    <w:rsid w:val="00651F7F"/>
    <w:rsid w:val="008C37B6"/>
    <w:rsid w:val="008F06D8"/>
    <w:rsid w:val="00912DE9"/>
    <w:rsid w:val="00957A02"/>
    <w:rsid w:val="009D4CAC"/>
    <w:rsid w:val="00B5088D"/>
    <w:rsid w:val="00C17D32"/>
    <w:rsid w:val="00C76F52"/>
    <w:rsid w:val="00ED252A"/>
    <w:rsid w:val="00F44F61"/>
    <w:rsid w:val="00F7458A"/>
    <w:rsid w:val="00F7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4C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7D3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74C4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C4F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74C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74C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74C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4C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7D3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74C4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C4F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74C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74C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74C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Grafické znázornění impulzu</a:t>
            </a:r>
            <a:endParaRPr lang="en-US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022200349956256"/>
          <c:y val="0.17094269466316711"/>
          <c:w val="0.75335538786818312"/>
          <c:h val="0.69033402074740657"/>
        </c:manualLayout>
      </c:layout>
      <c:lineChart>
        <c:grouping val="standard"/>
        <c:varyColors val="0"/>
        <c:ser>
          <c:idx val="1"/>
          <c:order val="0"/>
          <c:tx>
            <c:strRef>
              <c:f>List1!$B$1</c:f>
              <c:strCache>
                <c:ptCount val="1"/>
                <c:pt idx="0">
                  <c:v>T-T01</c:v>
                </c:pt>
              </c:strCache>
            </c:strRef>
          </c:tx>
          <c:spPr>
            <a:ln w="28575">
              <a:noFill/>
            </a:ln>
          </c:spPr>
          <c:marker>
            <c:symbol val="diamond"/>
            <c:size val="7"/>
            <c:spPr>
              <a:solidFill>
                <a:schemeClr val="tx1"/>
              </a:solidFill>
            </c:spPr>
          </c:marker>
          <c:cat>
            <c:numRef>
              <c:f>List1!$A$2:$A$10</c:f>
              <c:numCache>
                <c:formatCode>General</c:formatCode>
                <c:ptCount val="9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</c:numCache>
            </c:numRef>
          </c:cat>
          <c:val>
            <c:numRef>
              <c:f>List1!$B$2:$B$10</c:f>
              <c:numCache>
                <c:formatCode>0.00</c:formatCode>
                <c:ptCount val="9"/>
                <c:pt idx="0" formatCode="General">
                  <c:v>0</c:v>
                </c:pt>
                <c:pt idx="1">
                  <c:v>3.2579999999999814</c:v>
                </c:pt>
                <c:pt idx="2">
                  <c:v>3.1931339999999864</c:v>
                </c:pt>
                <c:pt idx="3">
                  <c:v>3.06</c:v>
                </c:pt>
                <c:pt idx="4">
                  <c:v>2.9335499999999683</c:v>
                </c:pt>
                <c:pt idx="5">
                  <c:v>2.9335499999999683</c:v>
                </c:pt>
                <c:pt idx="6">
                  <c:v>2.8036859999999706</c:v>
                </c:pt>
                <c:pt idx="7">
                  <c:v>2.8036859999999706</c:v>
                </c:pt>
                <c:pt idx="8">
                  <c:v>2.5438139999999692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462848"/>
        <c:axId val="112740992"/>
      </c:lineChart>
      <c:catAx>
        <c:axId val="112462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2740992"/>
        <c:crosses val="autoZero"/>
        <c:auto val="1"/>
        <c:lblAlgn val="ctr"/>
        <c:lblOffset val="100"/>
        <c:noMultiLvlLbl val="0"/>
      </c:catAx>
      <c:valAx>
        <c:axId val="11274099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T-T01 [°C]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12462848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Valíček</dc:creator>
  <cp:keywords/>
  <dc:description/>
  <cp:lastModifiedBy>Václav Valíček</cp:lastModifiedBy>
  <cp:revision>19</cp:revision>
  <dcterms:created xsi:type="dcterms:W3CDTF">2015-12-06T19:07:00Z</dcterms:created>
  <dcterms:modified xsi:type="dcterms:W3CDTF">2015-12-06T23:12:00Z</dcterms:modified>
</cp:coreProperties>
</file>